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AA62B1" w:rsidRDefault="00AA62B1">
      <w:pPr>
        <w:jc w:val="center"/>
        <w:rPr>
          <w:rFonts w:ascii="Arial" w:eastAsia="Arial" w:hAnsi="Arial" w:cs="Arial"/>
          <w:color w:val="000000"/>
        </w:rPr>
      </w:pPr>
    </w:p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>VACANCY NOTICE</w:t>
      </w: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</w:p>
    <w:p w:rsidR="004D5FE4" w:rsidRPr="00A74C48" w:rsidRDefault="0099486B" w:rsidP="004D5FE4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8"/>
        </w:rPr>
      </w:pPr>
      <w:r>
        <w:rPr>
          <w:rFonts w:ascii="Arial" w:hAnsi="Arial"/>
          <w:b/>
          <w:color w:val="auto"/>
          <w:sz w:val="28"/>
          <w:szCs w:val="28"/>
        </w:rPr>
        <w:t>REGISTERED</w:t>
      </w:r>
      <w:r w:rsidR="004D5FE4" w:rsidRPr="00A74C48">
        <w:rPr>
          <w:rFonts w:ascii="Arial" w:hAnsi="Arial"/>
          <w:b/>
          <w:color w:val="auto"/>
          <w:sz w:val="28"/>
          <w:szCs w:val="28"/>
        </w:rPr>
        <w:t xml:space="preserve"> NURSE (</w:t>
      </w:r>
      <w:r>
        <w:rPr>
          <w:rFonts w:ascii="Arial" w:hAnsi="Arial"/>
          <w:b/>
          <w:color w:val="auto"/>
          <w:sz w:val="28"/>
          <w:szCs w:val="28"/>
        </w:rPr>
        <w:t>R</w:t>
      </w:r>
      <w:r w:rsidR="004D5FE4" w:rsidRPr="00A74C48">
        <w:rPr>
          <w:rFonts w:ascii="Arial" w:hAnsi="Arial"/>
          <w:b/>
          <w:color w:val="auto"/>
          <w:sz w:val="28"/>
          <w:szCs w:val="28"/>
        </w:rPr>
        <w:t>N)</w:t>
      </w: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</w:p>
    <w:p w:rsidR="004D5FE4" w:rsidRPr="00A74C48" w:rsidRDefault="004D5FE4" w:rsidP="004D5FE4">
      <w:pPr>
        <w:spacing w:line="360" w:lineRule="auto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>TAZEWELL-MASON COUNTIES SPECIAL EDUCATION ASSOCIATION HAS AN IMMEDIATE OPENING FOR A</w:t>
      </w:r>
      <w:r>
        <w:rPr>
          <w:rFonts w:ascii="Arial" w:hAnsi="Arial"/>
          <w:b/>
          <w:color w:val="auto"/>
          <w:sz w:val="28"/>
          <w:szCs w:val="28"/>
        </w:rPr>
        <w:t xml:space="preserve"> PART-TIME </w:t>
      </w:r>
      <w:r w:rsidR="0099486B">
        <w:rPr>
          <w:rFonts w:ascii="Arial" w:hAnsi="Arial"/>
          <w:b/>
          <w:color w:val="auto"/>
          <w:sz w:val="28"/>
          <w:szCs w:val="28"/>
        </w:rPr>
        <w:t>REGISTERED NURSE</w:t>
      </w:r>
      <w:r w:rsidR="00E02FF3">
        <w:rPr>
          <w:rFonts w:ascii="Arial" w:hAnsi="Arial"/>
          <w:b/>
          <w:color w:val="auto"/>
          <w:sz w:val="28"/>
          <w:szCs w:val="28"/>
        </w:rPr>
        <w:t xml:space="preserve">, MONDAY THROUGH FRIDAY, </w:t>
      </w:r>
      <w:r w:rsidR="00CE06BB">
        <w:rPr>
          <w:rFonts w:ascii="Arial" w:hAnsi="Arial"/>
          <w:b/>
          <w:color w:val="auto"/>
          <w:sz w:val="28"/>
          <w:szCs w:val="28"/>
        </w:rPr>
        <w:t>WITH FLEXIBLE HOURS (UP TO 25 HOURS/WEEK)</w:t>
      </w:r>
      <w:bookmarkStart w:id="0" w:name="_GoBack"/>
      <w:bookmarkEnd w:id="0"/>
      <w:r w:rsidRPr="00A74C48">
        <w:rPr>
          <w:rFonts w:ascii="Arial" w:hAnsi="Arial"/>
          <w:b/>
          <w:color w:val="auto"/>
          <w:sz w:val="28"/>
          <w:szCs w:val="28"/>
        </w:rPr>
        <w:t>. THIS POSITION WILL BE AT THE SCHRAMM EDUCATIONAL CENTER, PEKIN, IL.</w:t>
      </w:r>
      <w:r>
        <w:rPr>
          <w:rFonts w:ascii="Arial" w:hAnsi="Arial"/>
          <w:b/>
          <w:color w:val="auto"/>
          <w:sz w:val="28"/>
          <w:szCs w:val="28"/>
        </w:rPr>
        <w:t xml:space="preserve"> </w:t>
      </w:r>
      <w:r w:rsidRPr="00A74C48">
        <w:rPr>
          <w:rFonts w:ascii="Arial" w:hAnsi="Arial"/>
          <w:b/>
          <w:color w:val="auto"/>
          <w:sz w:val="28"/>
          <w:szCs w:val="28"/>
        </w:rPr>
        <w:t xml:space="preserve"> APPROPRIATE STATE OF ILLINOIS NURSING LICENSE IS REQUIRED.  SALARY IS COMMENSURATE WITH EDUCATION AND EXPERIENCE.  INTERESTED APPLICANTS SHOULD SEND THEIR RESUME, CREDENTIALS AND LETTER OF INTEREST TO:</w:t>
      </w:r>
    </w:p>
    <w:p w:rsidR="004D5FE4" w:rsidRPr="00A74C48" w:rsidRDefault="004D5FE4" w:rsidP="004D5FE4">
      <w:pPr>
        <w:rPr>
          <w:rFonts w:ascii="Arial" w:hAnsi="Arial"/>
          <w:color w:val="auto"/>
          <w:sz w:val="28"/>
          <w:szCs w:val="28"/>
        </w:rPr>
      </w:pPr>
    </w:p>
    <w:p w:rsidR="004D5FE4" w:rsidRPr="00A74C48" w:rsidRDefault="004D5FE4" w:rsidP="004D5FE4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>Kristina D. Neville, Superintendent/Director</w:t>
      </w: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>TAZEWELL-MASON COUNTIES</w:t>
      </w: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>SPECIAL EDUCATION ASSOCIATION</w:t>
      </w: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>300 Cedar Street</w:t>
      </w: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>Pekin, IL  61554-2576</w:t>
      </w:r>
    </w:p>
    <w:p w:rsidR="004D5FE4" w:rsidRPr="00A74C48" w:rsidRDefault="004D5FE4" w:rsidP="004D5FE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>Phone:  (309) 347-5164</w:t>
      </w:r>
    </w:p>
    <w:p w:rsidR="004D5FE4" w:rsidRPr="00A74C48" w:rsidRDefault="004D5FE4" w:rsidP="004D5FE4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A74C48">
        <w:rPr>
          <w:rFonts w:ascii="Arial" w:hAnsi="Arial"/>
          <w:b/>
          <w:color w:val="auto"/>
          <w:sz w:val="28"/>
          <w:szCs w:val="28"/>
        </w:rPr>
        <w:t xml:space="preserve">E-mail:  </w:t>
      </w:r>
      <w:hyperlink r:id="rId7" w:history="1">
        <w:r w:rsidRPr="00A74C48">
          <w:rPr>
            <w:rFonts w:ascii="Arial" w:hAnsi="Arial"/>
            <w:b/>
            <w:sz w:val="28"/>
            <w:szCs w:val="28"/>
            <w:u w:val="single"/>
          </w:rPr>
          <w:t>kneville@tmcsea.org</w:t>
        </w:r>
      </w:hyperlink>
    </w:p>
    <w:p w:rsidR="004D5FE4" w:rsidRPr="00A74C48" w:rsidRDefault="004D5FE4" w:rsidP="004D5FE4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A74C48">
        <w:rPr>
          <w:rFonts w:ascii="Arial" w:hAnsi="Arial" w:cs="Arial"/>
          <w:b/>
          <w:color w:val="auto"/>
          <w:sz w:val="28"/>
          <w:szCs w:val="28"/>
        </w:rPr>
        <w:t>Website:</w:t>
      </w:r>
      <w:r w:rsidRPr="00A74C48">
        <w:rPr>
          <w:rFonts w:ascii="Arial" w:hAnsi="Arial" w:cs="Arial"/>
          <w:color w:val="auto"/>
          <w:sz w:val="28"/>
          <w:szCs w:val="28"/>
        </w:rPr>
        <w:t xml:space="preserve">  </w:t>
      </w:r>
      <w:hyperlink r:id="rId8" w:history="1">
        <w:r w:rsidRPr="00A74C48">
          <w:rPr>
            <w:rFonts w:ascii="Arial" w:hAnsi="Arial" w:cs="Arial"/>
            <w:b/>
            <w:sz w:val="28"/>
            <w:szCs w:val="28"/>
            <w:u w:val="single"/>
          </w:rPr>
          <w:t>www.tmcsea.org</w:t>
        </w:r>
      </w:hyperlink>
    </w:p>
    <w:p w:rsidR="004D5FE4" w:rsidRPr="00A74C48" w:rsidRDefault="004D5FE4" w:rsidP="004D5FE4">
      <w:pPr>
        <w:rPr>
          <w:rFonts w:ascii="Arial" w:hAnsi="Arial"/>
          <w:color w:val="auto"/>
          <w:sz w:val="28"/>
          <w:szCs w:val="28"/>
        </w:rPr>
      </w:pPr>
    </w:p>
    <w:p w:rsidR="00A87794" w:rsidRDefault="00A87794"/>
    <w:p w:rsidR="00A87794" w:rsidRPr="006A43A7" w:rsidRDefault="0099486B" w:rsidP="006A43A7">
      <w:pPr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11</w:t>
      </w:r>
      <w:r w:rsidR="006A43A7" w:rsidRPr="006A43A7">
        <w:rPr>
          <w:color w:val="auto"/>
          <w:sz w:val="16"/>
          <w:szCs w:val="16"/>
        </w:rPr>
        <w:t>/2023</w:t>
      </w:r>
    </w:p>
    <w:sectPr w:rsidR="00A87794" w:rsidRPr="006A43A7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86" w:rsidRDefault="004F5003">
      <w:r>
        <w:separator/>
      </w:r>
    </w:p>
  </w:endnote>
  <w:endnote w:type="continuationSeparator" w:id="0">
    <w:p w:rsidR="00924486" w:rsidRDefault="004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86" w:rsidRDefault="004F5003">
      <w:r>
        <w:separator/>
      </w:r>
    </w:p>
  </w:footnote>
  <w:footnote w:type="continuationSeparator" w:id="0">
    <w:p w:rsidR="00924486" w:rsidRDefault="004F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4wst8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F3E01"/>
    <w:rsid w:val="004D5FE4"/>
    <w:rsid w:val="004D6AF4"/>
    <w:rsid w:val="004F5003"/>
    <w:rsid w:val="006A43A7"/>
    <w:rsid w:val="00924486"/>
    <w:rsid w:val="00933931"/>
    <w:rsid w:val="0099486B"/>
    <w:rsid w:val="00A87794"/>
    <w:rsid w:val="00AA62B1"/>
    <w:rsid w:val="00C57B74"/>
    <w:rsid w:val="00CE06BB"/>
    <w:rsid w:val="00E0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2</cp:revision>
  <cp:lastPrinted>2025-11-07T17:29:00Z</cp:lastPrinted>
  <dcterms:created xsi:type="dcterms:W3CDTF">2025-11-07T17:30:00Z</dcterms:created>
  <dcterms:modified xsi:type="dcterms:W3CDTF">2025-11-07T17:30:00Z</dcterms:modified>
</cp:coreProperties>
</file>