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7" w:rsidRDefault="004C6007" w:rsidP="00CB3CFA"/>
    <w:p w:rsidR="004C6007" w:rsidRDefault="004C6007" w:rsidP="00CB3CFA"/>
    <w:p w:rsidR="004C6007" w:rsidRDefault="004C6007" w:rsidP="00CB3CFA">
      <w:pPr>
        <w:rPr>
          <w:rFonts w:ascii="Arial" w:hAnsi="Arial" w:cs="Arial"/>
          <w:color w:val="auto"/>
        </w:rPr>
      </w:pPr>
    </w:p>
    <w:p w:rsidR="00836C5A" w:rsidRPr="00836C5A" w:rsidRDefault="00836C5A" w:rsidP="00836C5A">
      <w:r>
        <w:tab/>
      </w:r>
      <w:r>
        <w:tab/>
      </w:r>
      <w:r>
        <w:tab/>
      </w:r>
    </w:p>
    <w:p w:rsidR="00836C5A" w:rsidRPr="00836C5A" w:rsidRDefault="00836C5A" w:rsidP="00836C5A">
      <w:pPr>
        <w:spacing w:after="200" w:line="276" w:lineRule="auto"/>
        <w:jc w:val="center"/>
        <w:rPr>
          <w:rFonts w:ascii="Calibri" w:eastAsia="Calibri" w:hAnsi="Calibri"/>
          <w:b/>
          <w:color w:val="auto"/>
        </w:rPr>
      </w:pPr>
    </w:p>
    <w:p w:rsidR="00836C5A" w:rsidRPr="00836C5A" w:rsidRDefault="00836C5A" w:rsidP="00836C5A">
      <w:pPr>
        <w:spacing w:after="200" w:line="276" w:lineRule="auto"/>
        <w:jc w:val="center"/>
        <w:rPr>
          <w:rFonts w:ascii="Calibri" w:eastAsia="Calibri" w:hAnsi="Calibri"/>
          <w:b/>
          <w:color w:val="auto"/>
          <w:sz w:val="22"/>
          <w:szCs w:val="22"/>
        </w:rPr>
      </w:pPr>
      <w:r w:rsidRPr="00836C5A">
        <w:rPr>
          <w:rFonts w:ascii="Calibri" w:eastAsia="Calibri" w:hAnsi="Calibri"/>
          <w:b/>
          <w:color w:val="auto"/>
          <w:sz w:val="22"/>
          <w:szCs w:val="22"/>
        </w:rPr>
        <w:t>Fiscal Year 2026</w:t>
      </w:r>
    </w:p>
    <w:p w:rsidR="00836C5A" w:rsidRPr="00836C5A" w:rsidRDefault="00836C5A" w:rsidP="00836C5A">
      <w:pPr>
        <w:spacing w:after="200" w:line="276" w:lineRule="auto"/>
        <w:jc w:val="center"/>
        <w:rPr>
          <w:rFonts w:ascii="Calibri" w:eastAsia="Calibri" w:hAnsi="Calibri"/>
          <w:b/>
          <w:color w:val="auto"/>
          <w:sz w:val="22"/>
          <w:szCs w:val="22"/>
        </w:rPr>
      </w:pPr>
      <w:r w:rsidRPr="00836C5A">
        <w:rPr>
          <w:rFonts w:ascii="Calibri" w:eastAsia="Calibri" w:hAnsi="Calibri"/>
          <w:b/>
          <w:color w:val="auto"/>
          <w:sz w:val="22"/>
          <w:szCs w:val="22"/>
        </w:rPr>
        <w:t>Contracts over $25,000</w:t>
      </w:r>
      <w:bookmarkStart w:id="0" w:name="_GoBack"/>
      <w:bookmarkEnd w:id="0"/>
    </w:p>
    <w:p w:rsidR="00836C5A" w:rsidRPr="00836C5A" w:rsidRDefault="00836C5A" w:rsidP="00836C5A">
      <w:pPr>
        <w:spacing w:after="200" w:line="276" w:lineRule="auto"/>
        <w:jc w:val="center"/>
        <w:rPr>
          <w:rFonts w:ascii="Calibri" w:eastAsia="Calibri" w:hAnsi="Calibri"/>
          <w:color w:val="auto"/>
          <w:sz w:val="22"/>
          <w:szCs w:val="22"/>
        </w:rPr>
      </w:pPr>
    </w:p>
    <w:p w:rsidR="00836C5A" w:rsidRPr="00836C5A" w:rsidRDefault="00836C5A" w:rsidP="00836C5A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</w:rPr>
      </w:pPr>
      <w:r w:rsidRPr="00836C5A">
        <w:rPr>
          <w:rFonts w:ascii="Calibri" w:eastAsia="Calibri" w:hAnsi="Calibri"/>
          <w:color w:val="auto"/>
          <w:sz w:val="22"/>
          <w:szCs w:val="22"/>
        </w:rPr>
        <w:t>Bishop Brothers (</w:t>
      </w:r>
      <w:r w:rsidR="00635746">
        <w:rPr>
          <w:rFonts w:ascii="Calibri" w:eastAsia="Calibri" w:hAnsi="Calibri"/>
          <w:color w:val="auto"/>
          <w:sz w:val="22"/>
          <w:szCs w:val="22"/>
        </w:rPr>
        <w:t>Bus Canopy</w:t>
      </w:r>
      <w:r w:rsidRPr="00836C5A">
        <w:rPr>
          <w:rFonts w:ascii="Calibri" w:eastAsia="Calibri" w:hAnsi="Calibri"/>
          <w:color w:val="auto"/>
          <w:sz w:val="22"/>
          <w:szCs w:val="22"/>
        </w:rPr>
        <w:t xml:space="preserve"> Project)</w:t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>$194,500</w:t>
      </w:r>
    </w:p>
    <w:p w:rsidR="00836C5A" w:rsidRPr="00836C5A" w:rsidRDefault="00836C5A" w:rsidP="00836C5A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</w:rPr>
      </w:pPr>
      <w:r w:rsidRPr="00836C5A">
        <w:rPr>
          <w:rFonts w:ascii="Calibri" w:eastAsia="Calibri" w:hAnsi="Calibri"/>
          <w:color w:val="auto"/>
          <w:sz w:val="22"/>
          <w:szCs w:val="22"/>
        </w:rPr>
        <w:t>Bishop Brothers (Playground Demo)</w:t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>$48,187</w:t>
      </w:r>
    </w:p>
    <w:p w:rsidR="00836C5A" w:rsidRPr="00836C5A" w:rsidRDefault="00836C5A" w:rsidP="00836C5A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</w:rPr>
      </w:pPr>
      <w:r w:rsidRPr="00836C5A">
        <w:rPr>
          <w:rFonts w:ascii="Calibri" w:eastAsia="Calibri" w:hAnsi="Calibri"/>
          <w:color w:val="auto"/>
          <w:sz w:val="22"/>
          <w:szCs w:val="22"/>
        </w:rPr>
        <w:t>Dr. Joanna Capobianco (Audiology Services)</w:t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>$42,500</w:t>
      </w:r>
    </w:p>
    <w:p w:rsidR="00836C5A" w:rsidRPr="00836C5A" w:rsidRDefault="00836C5A" w:rsidP="00836C5A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</w:rPr>
      </w:pPr>
      <w:proofErr w:type="spellStart"/>
      <w:r w:rsidRPr="00836C5A">
        <w:rPr>
          <w:rFonts w:ascii="Calibri" w:eastAsia="Calibri" w:hAnsi="Calibri"/>
          <w:color w:val="auto"/>
          <w:sz w:val="22"/>
          <w:szCs w:val="22"/>
        </w:rPr>
        <w:t>GameTime</w:t>
      </w:r>
      <w:proofErr w:type="spellEnd"/>
      <w:r w:rsidRPr="00836C5A">
        <w:rPr>
          <w:rFonts w:ascii="Calibri" w:eastAsia="Calibri" w:hAnsi="Calibri"/>
          <w:color w:val="auto"/>
          <w:sz w:val="22"/>
          <w:szCs w:val="22"/>
        </w:rPr>
        <w:t>/Cunningham Recreation (Playground Project)</w:t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</w:r>
      <w:r w:rsidR="00635746">
        <w:rPr>
          <w:rFonts w:ascii="Calibri" w:eastAsia="Calibri" w:hAnsi="Calibri"/>
          <w:color w:val="auto"/>
          <w:sz w:val="22"/>
          <w:szCs w:val="22"/>
        </w:rPr>
        <w:t>$309,007</w:t>
      </w:r>
    </w:p>
    <w:p w:rsidR="00836C5A" w:rsidRPr="00836C5A" w:rsidRDefault="00836C5A" w:rsidP="00836C5A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</w:rPr>
      </w:pPr>
      <w:r w:rsidRPr="00836C5A">
        <w:rPr>
          <w:rFonts w:ascii="Calibri" w:eastAsia="Calibri" w:hAnsi="Calibri"/>
          <w:color w:val="auto"/>
          <w:sz w:val="22"/>
          <w:szCs w:val="22"/>
        </w:rPr>
        <w:t>Sky’s The Limit –STL (IT Services)</w:t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>$37,338</w:t>
      </w:r>
    </w:p>
    <w:p w:rsidR="00836C5A" w:rsidRPr="00836C5A" w:rsidRDefault="00836C5A" w:rsidP="00836C5A">
      <w:pPr>
        <w:spacing w:after="200" w:line="276" w:lineRule="auto"/>
        <w:rPr>
          <w:rFonts w:ascii="Calibri" w:eastAsia="Calibri" w:hAnsi="Calibri"/>
          <w:color w:val="auto"/>
          <w:sz w:val="22"/>
          <w:szCs w:val="22"/>
        </w:rPr>
      </w:pPr>
      <w:r w:rsidRPr="00836C5A">
        <w:rPr>
          <w:rFonts w:ascii="Calibri" w:eastAsia="Calibri" w:hAnsi="Calibri"/>
          <w:color w:val="auto"/>
          <w:sz w:val="22"/>
          <w:szCs w:val="22"/>
        </w:rPr>
        <w:t>Ordo, Inc</w:t>
      </w:r>
      <w:proofErr w:type="gramStart"/>
      <w:r w:rsidRPr="00836C5A">
        <w:rPr>
          <w:rFonts w:ascii="Calibri" w:eastAsia="Calibri" w:hAnsi="Calibri"/>
          <w:color w:val="auto"/>
          <w:sz w:val="22"/>
          <w:szCs w:val="22"/>
        </w:rPr>
        <w:t>.(</w:t>
      </w:r>
      <w:proofErr w:type="gramEnd"/>
      <w:r w:rsidRPr="00836C5A">
        <w:rPr>
          <w:rFonts w:ascii="Calibri" w:eastAsia="Calibri" w:hAnsi="Calibri"/>
          <w:color w:val="auto"/>
          <w:sz w:val="22"/>
          <w:szCs w:val="22"/>
        </w:rPr>
        <w:t>Vended Meals)</w:t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</w:r>
      <w:r w:rsidRPr="00836C5A">
        <w:rPr>
          <w:rFonts w:ascii="Calibri" w:eastAsia="Calibri" w:hAnsi="Calibri"/>
          <w:color w:val="auto"/>
          <w:sz w:val="22"/>
          <w:szCs w:val="22"/>
        </w:rPr>
        <w:t>$107,020</w:t>
      </w:r>
    </w:p>
    <w:p w:rsidR="00CB7563" w:rsidRPr="00CB7563" w:rsidRDefault="00CB7563" w:rsidP="00CB3CFA">
      <w:pPr>
        <w:rPr>
          <w:rFonts w:ascii="Arial" w:hAnsi="Arial" w:cs="Arial"/>
          <w:color w:val="auto"/>
        </w:rPr>
      </w:pPr>
    </w:p>
    <w:sectPr w:rsidR="00CB7563" w:rsidRPr="00CB7563">
      <w:footerReference w:type="default" r:id="rId7"/>
      <w:headerReference w:type="first" r:id="rId8"/>
      <w:footerReference w:type="first" r:id="rId9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C5" w:rsidRDefault="00DA0AC5">
      <w:r>
        <w:separator/>
      </w:r>
    </w:p>
  </w:endnote>
  <w:endnote w:type="continuationSeparator" w:id="0">
    <w:p w:rsidR="00DA0AC5" w:rsidRDefault="00DA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C5" w:rsidRDefault="00DA0AC5">
      <w:r>
        <w:separator/>
      </w:r>
    </w:p>
  </w:footnote>
  <w:footnote w:type="continuationSeparator" w:id="0">
    <w:p w:rsidR="00DA0AC5" w:rsidRDefault="00DA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67259"/>
    <w:rsid w:val="00301021"/>
    <w:rsid w:val="004C6007"/>
    <w:rsid w:val="004F5003"/>
    <w:rsid w:val="005038E4"/>
    <w:rsid w:val="00635746"/>
    <w:rsid w:val="006474CF"/>
    <w:rsid w:val="007807CA"/>
    <w:rsid w:val="00800821"/>
    <w:rsid w:val="00836C5A"/>
    <w:rsid w:val="008916A1"/>
    <w:rsid w:val="00924486"/>
    <w:rsid w:val="00933931"/>
    <w:rsid w:val="00A035C5"/>
    <w:rsid w:val="00A87794"/>
    <w:rsid w:val="00BB69B6"/>
    <w:rsid w:val="00BB70B2"/>
    <w:rsid w:val="00C27CBE"/>
    <w:rsid w:val="00C57B74"/>
    <w:rsid w:val="00CB3CFA"/>
    <w:rsid w:val="00CB7563"/>
    <w:rsid w:val="00D34CA4"/>
    <w:rsid w:val="00DA0AC5"/>
    <w:rsid w:val="00E9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75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0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75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0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3</cp:revision>
  <cp:lastPrinted>2025-12-02T20:34:00Z</cp:lastPrinted>
  <dcterms:created xsi:type="dcterms:W3CDTF">2025-12-02T20:39:00Z</dcterms:created>
  <dcterms:modified xsi:type="dcterms:W3CDTF">2025-12-02T20:47:00Z</dcterms:modified>
</cp:coreProperties>
</file>